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B69D" w14:textId="77777777" w:rsidR="001632AF" w:rsidRDefault="001632AF">
      <w:pPr>
        <w:rPr>
          <w:lang w:val="kk-KZ"/>
        </w:rPr>
      </w:pPr>
    </w:p>
    <w:p w14:paraId="5279CA6F" w14:textId="77777777" w:rsidR="00912E42" w:rsidRPr="006B191D" w:rsidRDefault="00912E42" w:rsidP="00912E42">
      <w:pPr>
        <w:widowControl w:val="0"/>
        <w:tabs>
          <w:tab w:val="left" w:pos="8357"/>
        </w:tabs>
        <w:jc w:val="center"/>
        <w:rPr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color w:val="000000"/>
          <w:sz w:val="40"/>
          <w:szCs w:val="40"/>
          <w:lang w:val="kk-KZ"/>
        </w:rPr>
        <w:t>МӨЖ-</w:t>
      </w:r>
      <w:r>
        <w:rPr>
          <w:color w:val="000000"/>
          <w:sz w:val="40"/>
          <w:szCs w:val="40"/>
          <w:lang w:val="kk-KZ"/>
        </w:rPr>
        <w:t>2</w:t>
      </w:r>
      <w:r w:rsidRPr="006B191D">
        <w:rPr>
          <w:color w:val="000000"/>
          <w:sz w:val="40"/>
          <w:szCs w:val="40"/>
          <w:lang w:val="kk-KZ"/>
        </w:rPr>
        <w:t xml:space="preserve"> ТАПСЫРУ ГРАФИГІ</w:t>
      </w:r>
    </w:p>
    <w:p w14:paraId="2557E3DC" w14:textId="7E4F3135" w:rsidR="00912E42" w:rsidRPr="006B191D" w:rsidRDefault="00E34F44" w:rsidP="00912E42">
      <w:pPr>
        <w:widowControl w:val="0"/>
        <w:tabs>
          <w:tab w:val="left" w:pos="8357"/>
        </w:tabs>
        <w:jc w:val="center"/>
        <w:rPr>
          <w:color w:val="000000"/>
          <w:spacing w:val="38"/>
          <w:sz w:val="40"/>
          <w:szCs w:val="40"/>
          <w:lang w:val="kk-KZ"/>
        </w:rPr>
      </w:pPr>
      <w:bookmarkStart w:id="1" w:name="_Hlk62590432"/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</w:t>
      </w:r>
      <w:r w:rsidR="00912E42" w:rsidRPr="006B191D">
        <w:rPr>
          <w:b/>
          <w:sz w:val="36"/>
          <w:szCs w:val="36"/>
          <w:lang w:val="kk-KZ" w:eastAsia="ru-RU"/>
        </w:rPr>
        <w:t xml:space="preserve"> ”</w:t>
      </w:r>
      <w:r w:rsidR="00912E42" w:rsidRPr="006B191D">
        <w:rPr>
          <w:bCs/>
          <w:sz w:val="36"/>
          <w:szCs w:val="36"/>
          <w:lang w:val="kk-KZ" w:eastAsia="ru-RU"/>
        </w:rPr>
        <w:t>Дағдарысқа қарсы мемлекетттік басқару</w:t>
      </w:r>
      <w:r w:rsidR="00912E42" w:rsidRPr="006B191D">
        <w:rPr>
          <w:b/>
          <w:sz w:val="36"/>
          <w:szCs w:val="36"/>
          <w:lang w:val="kk-KZ" w:eastAsia="ru-RU"/>
        </w:rPr>
        <w:t xml:space="preserve">    ”</w:t>
      </w:r>
      <w:bookmarkStart w:id="2" w:name="_Hlk62760083"/>
    </w:p>
    <w:p w14:paraId="37CD391A" w14:textId="77777777" w:rsidR="00912E42" w:rsidRPr="006B191D" w:rsidRDefault="00912E42" w:rsidP="00912E42">
      <w:pPr>
        <w:widowControl w:val="0"/>
        <w:tabs>
          <w:tab w:val="left" w:pos="8357"/>
        </w:tabs>
        <w:jc w:val="both"/>
        <w:rPr>
          <w:color w:val="000000"/>
          <w:spacing w:val="38"/>
          <w:sz w:val="40"/>
          <w:szCs w:val="40"/>
          <w:lang w:val="kk-KZ"/>
        </w:rPr>
      </w:pPr>
    </w:p>
    <w:p w14:paraId="57146D8A" w14:textId="3C1D074F" w:rsidR="00912E42" w:rsidRPr="006B191D" w:rsidRDefault="00912E42" w:rsidP="00912E42">
      <w:pPr>
        <w:widowControl w:val="0"/>
        <w:tabs>
          <w:tab w:val="left" w:pos="8357"/>
        </w:tabs>
        <w:jc w:val="both"/>
        <w:rPr>
          <w:color w:val="000000"/>
          <w:sz w:val="40"/>
          <w:szCs w:val="40"/>
          <w:lang w:val="kk-KZ"/>
        </w:rPr>
      </w:pPr>
      <w:r w:rsidRPr="006B191D">
        <w:rPr>
          <w:color w:val="000000"/>
          <w:spacing w:val="38"/>
          <w:sz w:val="40"/>
          <w:szCs w:val="40"/>
          <w:lang w:val="kk-KZ"/>
        </w:rPr>
        <w:t>7М041</w:t>
      </w:r>
      <w:r w:rsidRPr="001B3DD1">
        <w:rPr>
          <w:color w:val="000000"/>
          <w:spacing w:val="38"/>
          <w:sz w:val="40"/>
          <w:szCs w:val="40"/>
          <w:lang w:val="kk-KZ"/>
        </w:rPr>
        <w:t>0</w:t>
      </w:r>
      <w:r w:rsidRPr="00912E42">
        <w:rPr>
          <w:color w:val="000000"/>
          <w:spacing w:val="38"/>
          <w:sz w:val="40"/>
          <w:szCs w:val="40"/>
          <w:lang w:val="kk-KZ"/>
        </w:rPr>
        <w:t>4</w:t>
      </w:r>
      <w:r w:rsidRPr="006B191D">
        <w:rPr>
          <w:color w:val="000000"/>
          <w:spacing w:val="38"/>
          <w:sz w:val="40"/>
          <w:szCs w:val="40"/>
          <w:lang w:val="kk-KZ"/>
        </w:rPr>
        <w:t>-</w:t>
      </w:r>
      <w:r w:rsidRPr="006B191D">
        <w:rPr>
          <w:color w:val="000000"/>
          <w:spacing w:val="2"/>
          <w:sz w:val="40"/>
          <w:szCs w:val="40"/>
          <w:lang w:val="kk-KZ"/>
        </w:rPr>
        <w:t>"</w:t>
      </w:r>
      <w:r w:rsidRPr="006B191D">
        <w:rPr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6B191D">
        <w:rPr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color w:val="000000"/>
          <w:sz w:val="40"/>
          <w:szCs w:val="40"/>
          <w:lang w:val="kk-KZ"/>
        </w:rPr>
        <w:t xml:space="preserve"> ма</w:t>
      </w:r>
      <w:r w:rsidRPr="006B191D">
        <w:rPr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color w:val="000000"/>
          <w:sz w:val="40"/>
          <w:szCs w:val="40"/>
          <w:lang w:val="kk-KZ"/>
        </w:rPr>
        <w:t>анд</w:t>
      </w:r>
      <w:r w:rsidRPr="006B191D">
        <w:rPr>
          <w:color w:val="000000"/>
          <w:spacing w:val="2"/>
          <w:sz w:val="40"/>
          <w:szCs w:val="40"/>
          <w:lang w:val="kk-KZ"/>
        </w:rPr>
        <w:t>ы</w:t>
      </w:r>
      <w:r w:rsidRPr="006B191D">
        <w:rPr>
          <w:color w:val="000000"/>
          <w:sz w:val="40"/>
          <w:szCs w:val="40"/>
          <w:lang w:val="kk-KZ"/>
        </w:rPr>
        <w:t>ғы</w:t>
      </w:r>
      <w:r w:rsidRPr="006B191D">
        <w:rPr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Pr="006B191D">
        <w:rPr>
          <w:color w:val="000000"/>
          <w:sz w:val="40"/>
          <w:szCs w:val="40"/>
          <w:lang w:val="kk-KZ"/>
        </w:rPr>
        <w:t>2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pacing w:val="3"/>
          <w:sz w:val="40"/>
          <w:szCs w:val="40"/>
          <w:lang w:val="kk-KZ"/>
        </w:rPr>
        <w:t>к</w:t>
      </w:r>
      <w:r w:rsidRPr="006B191D">
        <w:rPr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color w:val="000000"/>
          <w:spacing w:val="2"/>
          <w:sz w:val="40"/>
          <w:szCs w:val="40"/>
          <w:lang w:val="kk-KZ"/>
        </w:rPr>
        <w:t>р</w:t>
      </w:r>
      <w:r w:rsidRPr="006B191D">
        <w:rPr>
          <w:color w:val="000000"/>
          <w:sz w:val="40"/>
          <w:szCs w:val="40"/>
          <w:lang w:val="kk-KZ"/>
        </w:rPr>
        <w:t>с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z w:val="40"/>
          <w:szCs w:val="40"/>
          <w:lang w:val="kk-KZ"/>
        </w:rPr>
        <w:t>магистранттары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z w:val="40"/>
          <w:szCs w:val="40"/>
          <w:lang w:val="kk-KZ"/>
        </w:rPr>
        <w:t>үш</w:t>
      </w:r>
      <w:r w:rsidRPr="006B191D">
        <w:rPr>
          <w:color w:val="000000"/>
          <w:spacing w:val="1"/>
          <w:sz w:val="40"/>
          <w:szCs w:val="40"/>
          <w:lang w:val="kk-KZ"/>
        </w:rPr>
        <w:t>і</w:t>
      </w:r>
      <w:r w:rsidRPr="006B191D">
        <w:rPr>
          <w:color w:val="000000"/>
          <w:sz w:val="40"/>
          <w:szCs w:val="40"/>
          <w:lang w:val="kk-KZ"/>
        </w:rPr>
        <w:t>н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color w:val="000000"/>
          <w:sz w:val="40"/>
          <w:szCs w:val="40"/>
          <w:lang w:val="kk-KZ"/>
        </w:rPr>
        <w:t>ытылады.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color w:val="000000"/>
          <w:sz w:val="40"/>
          <w:szCs w:val="40"/>
          <w:lang w:val="kk-KZ"/>
        </w:rPr>
        <w:t>04.09.202</w:t>
      </w:r>
      <w:r>
        <w:rPr>
          <w:color w:val="000000"/>
          <w:sz w:val="40"/>
          <w:szCs w:val="40"/>
          <w:lang w:val="kk-KZ"/>
        </w:rPr>
        <w:t>4</w:t>
      </w:r>
      <w:r w:rsidRPr="006B191D">
        <w:rPr>
          <w:color w:val="000000"/>
          <w:sz w:val="40"/>
          <w:szCs w:val="40"/>
          <w:lang w:val="kk-KZ"/>
        </w:rPr>
        <w:t>-16.12.202</w:t>
      </w:r>
      <w:r>
        <w:rPr>
          <w:color w:val="000000"/>
          <w:sz w:val="40"/>
          <w:szCs w:val="40"/>
          <w:lang w:val="kk-KZ"/>
        </w:rPr>
        <w:t>4</w:t>
      </w:r>
      <w:r w:rsidRPr="006B191D">
        <w:rPr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45BB31D5" w14:textId="77777777" w:rsidR="00912E42" w:rsidRPr="006B191D" w:rsidRDefault="00912E42" w:rsidP="00912E42">
      <w:pPr>
        <w:rPr>
          <w:sz w:val="40"/>
          <w:szCs w:val="40"/>
          <w:lang w:val="kk-KZ"/>
        </w:rPr>
      </w:pPr>
    </w:p>
    <w:p w14:paraId="39738508" w14:textId="77777777" w:rsidR="00912E42" w:rsidRPr="006B191D" w:rsidRDefault="00912E42" w:rsidP="00912E42">
      <w:pPr>
        <w:widowControl w:val="0"/>
        <w:tabs>
          <w:tab w:val="left" w:pos="8820"/>
        </w:tabs>
        <w:rPr>
          <w:color w:val="000000"/>
          <w:spacing w:val="1"/>
          <w:sz w:val="28"/>
          <w:szCs w:val="28"/>
          <w:lang w:val="kk-KZ"/>
        </w:rPr>
      </w:pPr>
      <w:r w:rsidRPr="006B191D">
        <w:rPr>
          <w:b/>
          <w:sz w:val="36"/>
          <w:szCs w:val="36"/>
          <w:lang w:val="kk-KZ" w:eastAsia="ru-RU"/>
        </w:rPr>
        <w:t>”</w:t>
      </w:r>
      <w:r w:rsidRPr="006B191D">
        <w:rPr>
          <w:rFonts w:eastAsiaTheme="minorEastAsia"/>
          <w:sz w:val="36"/>
          <w:szCs w:val="36"/>
          <w:lang w:val="kk-KZ" w:eastAsia="ru-RU"/>
        </w:rPr>
        <w:t>Дағдарысқа қарсы мемлекеттік басқару</w:t>
      </w:r>
      <w:r w:rsidRPr="006B191D">
        <w:rPr>
          <w:b/>
          <w:sz w:val="36"/>
          <w:szCs w:val="36"/>
          <w:lang w:val="kk-KZ" w:eastAsia="ru-RU"/>
        </w:rPr>
        <w:t>”</w:t>
      </w:r>
      <w:r w:rsidRPr="006B191D">
        <w:rPr>
          <w:b/>
          <w:sz w:val="28"/>
          <w:szCs w:val="28"/>
          <w:lang w:val="kk-KZ" w:eastAsia="ru-RU"/>
        </w:rPr>
        <w:t xml:space="preserve"> </w:t>
      </w:r>
      <w:r w:rsidRPr="006B191D">
        <w:rPr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color w:val="000000"/>
          <w:spacing w:val="4"/>
          <w:sz w:val="40"/>
          <w:szCs w:val="40"/>
          <w:lang w:val="kk-KZ"/>
        </w:rPr>
        <w:t>ә</w:t>
      </w:r>
      <w:r w:rsidRPr="006B191D">
        <w:rPr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1"/>
          <w:sz w:val="40"/>
          <w:szCs w:val="40"/>
          <w:lang w:val="kk-KZ"/>
        </w:rPr>
        <w:t>і</w:t>
      </w:r>
      <w:r w:rsidRPr="006B191D">
        <w:rPr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2"/>
          <w:sz w:val="40"/>
          <w:szCs w:val="40"/>
          <w:lang w:val="kk-KZ"/>
        </w:rPr>
        <w:t>е</w:t>
      </w:r>
      <w:r w:rsidRPr="006B191D">
        <w:rPr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color w:val="000000"/>
          <w:w w:val="98"/>
          <w:sz w:val="40"/>
          <w:szCs w:val="40"/>
          <w:lang w:val="kk-KZ"/>
        </w:rPr>
        <w:t>б</w:t>
      </w:r>
      <w:r w:rsidRPr="006B191D">
        <w:rPr>
          <w:color w:val="000000"/>
          <w:sz w:val="40"/>
          <w:szCs w:val="40"/>
          <w:lang w:val="kk-KZ"/>
        </w:rPr>
        <w:t>і</w:t>
      </w:r>
      <w:r w:rsidRPr="006B191D">
        <w:rPr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color w:val="000000"/>
          <w:sz w:val="40"/>
          <w:szCs w:val="40"/>
          <w:lang w:val="kk-KZ"/>
        </w:rPr>
        <w:t>і</w:t>
      </w:r>
      <w:r w:rsidRPr="006B191D">
        <w:rPr>
          <w:color w:val="000000"/>
          <w:w w:val="108"/>
          <w:sz w:val="40"/>
          <w:szCs w:val="40"/>
          <w:lang w:val="kk-KZ"/>
        </w:rPr>
        <w:t>м</w:t>
      </w:r>
      <w:r w:rsidRPr="006B191D">
        <w:rPr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color w:val="000000"/>
          <w:w w:val="113"/>
          <w:sz w:val="40"/>
          <w:szCs w:val="40"/>
          <w:lang w:val="kk-KZ"/>
        </w:rPr>
        <w:t>а</w:t>
      </w:r>
      <w:r w:rsidRPr="006B191D">
        <w:rPr>
          <w:color w:val="000000"/>
          <w:w w:val="112"/>
          <w:sz w:val="40"/>
          <w:szCs w:val="40"/>
          <w:lang w:val="kk-KZ"/>
        </w:rPr>
        <w:t>л</w:t>
      </w:r>
      <w:r w:rsidRPr="006B191D">
        <w:rPr>
          <w:color w:val="000000"/>
          <w:spacing w:val="3"/>
          <w:sz w:val="40"/>
          <w:szCs w:val="40"/>
          <w:lang w:val="kk-KZ"/>
        </w:rPr>
        <w:t>у</w:t>
      </w:r>
      <w:r w:rsidRPr="006B191D">
        <w:rPr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color w:val="000000"/>
          <w:w w:val="116"/>
          <w:sz w:val="40"/>
          <w:szCs w:val="40"/>
          <w:lang w:val="kk-KZ"/>
        </w:rPr>
        <w:t>ы</w:t>
      </w:r>
      <w:r w:rsidRPr="006B191D">
        <w:rPr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color w:val="000000"/>
          <w:w w:val="108"/>
          <w:sz w:val="40"/>
          <w:szCs w:val="40"/>
          <w:lang w:val="kk-KZ"/>
        </w:rPr>
        <w:t>2</w:t>
      </w:r>
      <w:r w:rsidRPr="006B191D">
        <w:rPr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color w:val="000000"/>
          <w:w w:val="108"/>
          <w:sz w:val="40"/>
          <w:szCs w:val="40"/>
          <w:lang w:val="kk-KZ"/>
        </w:rPr>
        <w:t>і</w:t>
      </w:r>
      <w:r w:rsidRPr="006B191D">
        <w:rPr>
          <w:color w:val="000000"/>
          <w:w w:val="108"/>
          <w:sz w:val="28"/>
          <w:szCs w:val="28"/>
          <w:lang w:val="kk-KZ"/>
        </w:rPr>
        <w:t>:</w:t>
      </w:r>
    </w:p>
    <w:p w14:paraId="1FC356C7" w14:textId="77777777" w:rsidR="00912E42" w:rsidRPr="006B191D" w:rsidRDefault="00912E42" w:rsidP="00912E42">
      <w:pPr>
        <w:rPr>
          <w:lang w:val="kk-KZ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912E42" w:rsidRPr="00857168" w14:paraId="27BDB488" w14:textId="77777777" w:rsidTr="00E91624">
        <w:tc>
          <w:tcPr>
            <w:tcW w:w="535" w:type="dxa"/>
          </w:tcPr>
          <w:p w14:paraId="23E4E617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F5BB302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1BEF257A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07D7351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912E42" w:rsidRPr="00857168" w14:paraId="12ADC063" w14:textId="77777777" w:rsidTr="00E91624">
        <w:tc>
          <w:tcPr>
            <w:tcW w:w="535" w:type="dxa"/>
          </w:tcPr>
          <w:p w14:paraId="33C39189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0B2FD39" w14:textId="77777777" w:rsidR="00912E42" w:rsidRDefault="00912E42" w:rsidP="00E9162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sz w:val="28"/>
                <w:szCs w:val="28"/>
                <w:lang w:val="kk-KZ" w:eastAsia="ar-SA"/>
              </w:rPr>
              <w:t>ӨЖ-</w:t>
            </w:r>
            <w:r>
              <w:rPr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sz w:val="28"/>
                <w:szCs w:val="28"/>
                <w:lang w:val="kk-KZ"/>
              </w:rPr>
              <w:t xml:space="preserve"> </w:t>
            </w:r>
            <w:r w:rsidRPr="00106A9D">
              <w:rPr>
                <w:rFonts w:eastAsiaTheme="minorEastAsia"/>
                <w:sz w:val="36"/>
                <w:szCs w:val="36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14:paraId="1DA9665A" w14:textId="77777777" w:rsidR="00912E42" w:rsidRPr="00857168" w:rsidRDefault="00912E42" w:rsidP="00E91624">
            <w:pPr>
              <w:rPr>
                <w:sz w:val="28"/>
                <w:szCs w:val="28"/>
                <w:lang w:val="kk-KZ"/>
              </w:rPr>
            </w:pPr>
            <w:r w:rsidRPr="00857168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857168">
              <w:rPr>
                <w:rFonts w:eastAsiaTheme="minorEastAsia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06C83AE1" w14:textId="2F12FFEF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A877559" w14:textId="74A26C29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қ</w:t>
            </w:r>
            <w:r>
              <w:rPr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9ADA63B" w14:textId="77777777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1</w:t>
            </w:r>
            <w:r>
              <w:rPr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sz w:val="28"/>
                <w:szCs w:val="28"/>
                <w:lang w:val="kk-KZ" w:eastAsia="ar-SA"/>
              </w:rPr>
              <w:t>азан</w:t>
            </w:r>
          </w:p>
          <w:p w14:paraId="25CF098A" w14:textId="562B176B" w:rsidR="00912E42" w:rsidRPr="00857168" w:rsidRDefault="00912E42" w:rsidP="00E91624">
            <w:pPr>
              <w:rPr>
                <w:sz w:val="28"/>
                <w:szCs w:val="28"/>
                <w:lang w:val="kk-KZ" w:eastAsia="ar-SA"/>
              </w:rPr>
            </w:pPr>
            <w:r w:rsidRPr="00857168">
              <w:rPr>
                <w:sz w:val="28"/>
                <w:szCs w:val="28"/>
                <w:lang w:val="kk-KZ" w:eastAsia="ar-SA"/>
              </w:rPr>
              <w:t>202</w:t>
            </w:r>
            <w:r>
              <w:rPr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09222388" w14:textId="77777777" w:rsidR="00DE5237" w:rsidRDefault="00DE5237">
      <w:pPr>
        <w:rPr>
          <w:lang w:val="kk-KZ"/>
        </w:rPr>
      </w:pPr>
    </w:p>
    <w:p w14:paraId="5E2833BE" w14:textId="77777777" w:rsidR="00DE5237" w:rsidRDefault="00DE5237">
      <w:pPr>
        <w:rPr>
          <w:lang w:val="kk-KZ"/>
        </w:rPr>
      </w:pPr>
    </w:p>
    <w:p w14:paraId="46AD2143" w14:textId="77777777" w:rsidR="00DE5237" w:rsidRDefault="00DE5237">
      <w:pPr>
        <w:rPr>
          <w:lang w:val="kk-KZ"/>
        </w:rPr>
      </w:pPr>
    </w:p>
    <w:p w14:paraId="7556C1A8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bookmarkStart w:id="3" w:name="_Hlk145168752"/>
      <w:bookmarkStart w:id="4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1C504CEF" w14:textId="77777777" w:rsidR="00DE5237" w:rsidRDefault="00DE5237" w:rsidP="00DE5237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4FA42CE3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85AE5EA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2333FF7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329A72C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6FFEFE8D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4786792" w14:textId="77777777" w:rsidR="00DE5237" w:rsidRDefault="00DE5237" w:rsidP="00DE5237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A2A2415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DB6FD83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0287A28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BE33C34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3789717B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ED34650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A3D419A" w14:textId="77777777" w:rsidR="00DE5237" w:rsidRDefault="00DE5237" w:rsidP="00DE5237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B0AA948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030CFE36" w14:textId="77777777" w:rsidR="00DE5237" w:rsidRDefault="00DE5237" w:rsidP="00DE523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48102EF" w14:textId="77777777" w:rsidR="00DE5237" w:rsidRDefault="00DE5237" w:rsidP="00DE5237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Рязанов, В. А. Антикризисное  противодействие – М.: Юрайт, 2023-103 с.</w:t>
      </w:r>
    </w:p>
    <w:p w14:paraId="045A4FD7" w14:textId="77777777" w:rsidR="00DE5237" w:rsidRDefault="00DE5237" w:rsidP="00DE5237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17B59A63" w14:textId="77777777" w:rsidR="00DE5237" w:rsidRDefault="00DE5237" w:rsidP="00DE5237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2CF0930B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</w:p>
    <w:p w14:paraId="2445E6FD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28BB3128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0599CAE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8DC8E2F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0478C26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3D85703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D8ED352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B4DEAB3" w14:textId="77777777" w:rsidR="00DE5237" w:rsidRDefault="00DE5237" w:rsidP="00DE5237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7319CE3" w14:textId="77777777" w:rsidR="00DE5237" w:rsidRDefault="00DE5237" w:rsidP="00DE5237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655C6B5B" w14:textId="77777777" w:rsidR="00DE5237" w:rsidRDefault="00DE5237" w:rsidP="00DE523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58F796C" w14:textId="77777777" w:rsidR="00DE5237" w:rsidRDefault="00DE5237" w:rsidP="00DE523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0C31E547" w14:textId="77777777" w:rsidR="00DE5237" w:rsidRDefault="00DE5237" w:rsidP="00DE523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71357B61" w14:textId="77777777" w:rsidR="00DE5237" w:rsidRDefault="00DE5237" w:rsidP="00DE523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BCB26FC" w14:textId="77777777" w:rsidR="00DE5237" w:rsidRDefault="00DE5237" w:rsidP="00DE523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2BA35702" w14:textId="77777777" w:rsidR="00DE5237" w:rsidRDefault="00DE5237" w:rsidP="00DE5237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344DA9D0" w14:textId="77777777" w:rsidR="00DE5237" w:rsidRDefault="00DE5237" w:rsidP="00DE5237">
      <w:pPr>
        <w:rPr>
          <w:color w:val="000000" w:themeColor="text1"/>
          <w:sz w:val="20"/>
          <w:szCs w:val="20"/>
          <w:lang w:val="kk-KZ"/>
        </w:rPr>
      </w:pPr>
    </w:p>
    <w:p w14:paraId="22787259" w14:textId="77777777" w:rsidR="00DE5237" w:rsidRDefault="00DE5237" w:rsidP="00DE5237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1C77563" w14:textId="77777777" w:rsidR="00DE5237" w:rsidRDefault="00DE5237" w:rsidP="00DE523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487C9CE1" w14:textId="5BEEFB27" w:rsidR="00DE5237" w:rsidRPr="00DE5237" w:rsidRDefault="00DE5237" w:rsidP="00DE5237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3"/>
      <w:bookmarkEnd w:id="4"/>
      <w:r>
        <w:rPr>
          <w:color w:val="000000" w:themeColor="text1"/>
          <w:sz w:val="20"/>
          <w:szCs w:val="20"/>
          <w:lang w:val="kk-KZ"/>
        </w:rPr>
        <w:t>5</w:t>
      </w:r>
    </w:p>
    <w:sectPr w:rsidR="00DE5237" w:rsidRPr="00DE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87896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23926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40377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BA"/>
    <w:rsid w:val="001632AF"/>
    <w:rsid w:val="001B639D"/>
    <w:rsid w:val="00310446"/>
    <w:rsid w:val="003E6D87"/>
    <w:rsid w:val="00475CEA"/>
    <w:rsid w:val="00757356"/>
    <w:rsid w:val="00912E42"/>
    <w:rsid w:val="009C40E9"/>
    <w:rsid w:val="00CB75BA"/>
    <w:rsid w:val="00DE5237"/>
    <w:rsid w:val="00E34F44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307"/>
  <w15:chartTrackingRefBased/>
  <w15:docId w15:val="{1EA1CB7B-A678-4CC6-A1F4-DE20762A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DE523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DE5237"/>
  </w:style>
  <w:style w:type="table" w:styleId="ae">
    <w:name w:val="Table Grid"/>
    <w:basedOn w:val="a1"/>
    <w:uiPriority w:val="39"/>
    <w:rsid w:val="00912E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2024-05-22T04:21:00Z</dcterms:created>
  <dcterms:modified xsi:type="dcterms:W3CDTF">2024-07-02T13:13:00Z</dcterms:modified>
</cp:coreProperties>
</file>